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9CC9" w14:textId="6B65275C" w:rsidR="00765109" w:rsidRPr="00C7406E" w:rsidRDefault="00765109" w:rsidP="00765109">
      <w:pPr>
        <w:jc w:val="center"/>
        <w:rPr>
          <w:b/>
          <w:bCs/>
        </w:rPr>
      </w:pPr>
      <w:r w:rsidRPr="00C7406E">
        <w:rPr>
          <w:b/>
          <w:bCs/>
        </w:rPr>
        <w:t>Association de Baseball Noroît</w:t>
      </w:r>
    </w:p>
    <w:p w14:paraId="7740FB28" w14:textId="50A5D9FA" w:rsidR="00F21081" w:rsidRDefault="00F21081" w:rsidP="00765109">
      <w:pPr>
        <w:jc w:val="center"/>
      </w:pPr>
      <w:r>
        <w:t xml:space="preserve">Tableau des </w:t>
      </w:r>
      <w:r w:rsidR="00CB32C5">
        <w:t>frais</w:t>
      </w:r>
      <w:r>
        <w:t xml:space="preserve"> d’</w:t>
      </w:r>
      <w:r w:rsidR="00765109">
        <w:t>inscription</w:t>
      </w:r>
      <w:r w:rsidR="00526559">
        <w:t xml:space="preserve"> pour la saison 2022</w:t>
      </w:r>
    </w:p>
    <w:tbl>
      <w:tblPr>
        <w:tblStyle w:val="Grilledutableau"/>
        <w:tblW w:w="14837" w:type="dxa"/>
        <w:tblInd w:w="-743" w:type="dxa"/>
        <w:tblLook w:val="04A0" w:firstRow="1" w:lastRow="0" w:firstColumn="1" w:lastColumn="0" w:noHBand="0" w:noVBand="1"/>
      </w:tblPr>
      <w:tblGrid>
        <w:gridCol w:w="5920"/>
        <w:gridCol w:w="1417"/>
        <w:gridCol w:w="1978"/>
        <w:gridCol w:w="1414"/>
        <w:gridCol w:w="1328"/>
        <w:gridCol w:w="1410"/>
        <w:gridCol w:w="1370"/>
      </w:tblGrid>
      <w:tr w:rsidR="00CB32C5" w14:paraId="5603C153" w14:textId="77777777" w:rsidTr="00297EB9">
        <w:tc>
          <w:tcPr>
            <w:tcW w:w="5920" w:type="dxa"/>
            <w:vMerge w:val="restart"/>
            <w:shd w:val="clear" w:color="auto" w:fill="00B0F0"/>
          </w:tcPr>
          <w:p w14:paraId="644508D8" w14:textId="77777777" w:rsidR="00CB32C5" w:rsidRDefault="00CB32C5" w:rsidP="004B4CC5"/>
          <w:p w14:paraId="5C192F8A" w14:textId="77777777" w:rsidR="00CB32C5" w:rsidRDefault="00CB32C5" w:rsidP="004B4CC5"/>
          <w:p w14:paraId="6AB71B87" w14:textId="47712EB2" w:rsidR="00CB32C5" w:rsidRDefault="00CB32C5" w:rsidP="004B4CC5">
            <w:r>
              <w:t>Catégorie</w:t>
            </w:r>
          </w:p>
        </w:tc>
        <w:tc>
          <w:tcPr>
            <w:tcW w:w="4809" w:type="dxa"/>
            <w:gridSpan w:val="3"/>
            <w:shd w:val="clear" w:color="auto" w:fill="00B0F0"/>
          </w:tcPr>
          <w:p w14:paraId="46EA89D6" w14:textId="32CEF5C2" w:rsidR="00CB32C5" w:rsidRDefault="00CB32C5" w:rsidP="00F21081">
            <w:pPr>
              <w:jc w:val="center"/>
            </w:pPr>
            <w:r>
              <w:t>Tarif de base</w:t>
            </w:r>
          </w:p>
        </w:tc>
        <w:tc>
          <w:tcPr>
            <w:tcW w:w="2738" w:type="dxa"/>
            <w:gridSpan w:val="2"/>
            <w:shd w:val="clear" w:color="auto" w:fill="00B0F0"/>
          </w:tcPr>
          <w:p w14:paraId="35906F00" w14:textId="17FED793" w:rsidR="00CB32C5" w:rsidRDefault="00CB32C5" w:rsidP="00822C34">
            <w:pPr>
              <w:jc w:val="center"/>
            </w:pPr>
            <w:r>
              <w:t>Frais additionnels</w:t>
            </w:r>
          </w:p>
        </w:tc>
        <w:tc>
          <w:tcPr>
            <w:tcW w:w="1370" w:type="dxa"/>
            <w:vMerge w:val="restart"/>
            <w:shd w:val="clear" w:color="auto" w:fill="00B0F0"/>
          </w:tcPr>
          <w:p w14:paraId="32CBADEC" w14:textId="77777777" w:rsidR="00CB32C5" w:rsidRDefault="00CB32C5" w:rsidP="00822C34">
            <w:pPr>
              <w:jc w:val="center"/>
            </w:pPr>
          </w:p>
          <w:p w14:paraId="74CB67B9" w14:textId="77777777" w:rsidR="00CB32C5" w:rsidRDefault="00CB32C5" w:rsidP="00822C34">
            <w:pPr>
              <w:jc w:val="center"/>
            </w:pPr>
          </w:p>
          <w:p w14:paraId="515A0F19" w14:textId="2E80407A" w:rsidR="00CB32C5" w:rsidRDefault="00CB32C5" w:rsidP="00822C34">
            <w:pPr>
              <w:jc w:val="center"/>
            </w:pPr>
            <w:r>
              <w:t>TOTAL</w:t>
            </w:r>
          </w:p>
          <w:p w14:paraId="00FF1CE2" w14:textId="12EE584F" w:rsidR="00CB32C5" w:rsidRPr="00297EB9" w:rsidRDefault="00CB32C5" w:rsidP="00822C34">
            <w:pPr>
              <w:jc w:val="center"/>
              <w:rPr>
                <w:b/>
                <w:bCs/>
                <w:sz w:val="16"/>
                <w:szCs w:val="16"/>
              </w:rPr>
            </w:pPr>
            <w:r w:rsidRPr="00297EB9">
              <w:rPr>
                <w:b/>
                <w:bCs/>
                <w:sz w:val="16"/>
                <w:szCs w:val="16"/>
              </w:rPr>
              <w:t>(3)</w:t>
            </w:r>
          </w:p>
        </w:tc>
      </w:tr>
      <w:tr w:rsidR="00CB32C5" w14:paraId="1F9CE955" w14:textId="77777777" w:rsidTr="00297EB9">
        <w:tc>
          <w:tcPr>
            <w:tcW w:w="5920" w:type="dxa"/>
            <w:vMerge/>
            <w:shd w:val="clear" w:color="auto" w:fill="00B0F0"/>
          </w:tcPr>
          <w:p w14:paraId="1952CE72" w14:textId="28597447" w:rsidR="00CB32C5" w:rsidRDefault="00CB32C5"/>
        </w:tc>
        <w:tc>
          <w:tcPr>
            <w:tcW w:w="1417" w:type="dxa"/>
            <w:shd w:val="clear" w:color="auto" w:fill="00B0F0"/>
          </w:tcPr>
          <w:p w14:paraId="18C6A9E8" w14:textId="2BCF1263" w:rsidR="00CB32C5" w:rsidRDefault="00CB32C5" w:rsidP="00822C34">
            <w:pPr>
              <w:jc w:val="center"/>
            </w:pPr>
            <w:r>
              <w:t xml:space="preserve">Coûts du programme </w:t>
            </w:r>
            <w:r w:rsidRPr="00D7458D">
              <w:rPr>
                <w:b/>
                <w:bCs/>
                <w:sz w:val="16"/>
              </w:rPr>
              <w:t>(1)</w:t>
            </w:r>
          </w:p>
        </w:tc>
        <w:tc>
          <w:tcPr>
            <w:tcW w:w="1978" w:type="dxa"/>
            <w:shd w:val="clear" w:color="auto" w:fill="00B0F0"/>
          </w:tcPr>
          <w:p w14:paraId="1870EF7E" w14:textId="201781A8" w:rsidR="00CB32C5" w:rsidRDefault="00CB32C5" w:rsidP="00822C34">
            <w:pPr>
              <w:jc w:val="center"/>
            </w:pPr>
            <w:r>
              <w:t>Frais d’affiliation BQ provincial, région et ligue</w:t>
            </w:r>
          </w:p>
        </w:tc>
        <w:tc>
          <w:tcPr>
            <w:tcW w:w="1414" w:type="dxa"/>
            <w:shd w:val="clear" w:color="auto" w:fill="00B0F0"/>
          </w:tcPr>
          <w:p w14:paraId="31399A75" w14:textId="3200815C" w:rsidR="00CB32C5" w:rsidRDefault="00CB32C5" w:rsidP="00822C34">
            <w:pPr>
              <w:jc w:val="center"/>
            </w:pPr>
            <w:r>
              <w:t>Sous-total Tarif de base</w:t>
            </w:r>
          </w:p>
        </w:tc>
        <w:tc>
          <w:tcPr>
            <w:tcW w:w="1328" w:type="dxa"/>
            <w:shd w:val="clear" w:color="auto" w:fill="00B0F0"/>
          </w:tcPr>
          <w:p w14:paraId="3FA06FD1" w14:textId="2EB6ADE3" w:rsidR="00CB32C5" w:rsidRDefault="00CB32C5" w:rsidP="00822C34">
            <w:pPr>
              <w:jc w:val="center"/>
            </w:pPr>
            <w:r>
              <w:t>Frais des camps d’évaluation</w:t>
            </w:r>
          </w:p>
        </w:tc>
        <w:tc>
          <w:tcPr>
            <w:tcW w:w="1410" w:type="dxa"/>
            <w:shd w:val="clear" w:color="auto" w:fill="00B0F0"/>
          </w:tcPr>
          <w:p w14:paraId="08EE83DD" w14:textId="09E8481A" w:rsidR="00CB32C5" w:rsidRDefault="00CB32C5" w:rsidP="00822C34">
            <w:pPr>
              <w:jc w:val="center"/>
            </w:pPr>
            <w:r>
              <w:t>Gilets de baseball</w:t>
            </w:r>
          </w:p>
        </w:tc>
        <w:tc>
          <w:tcPr>
            <w:tcW w:w="1370" w:type="dxa"/>
            <w:vMerge/>
            <w:shd w:val="clear" w:color="auto" w:fill="00B0F0"/>
          </w:tcPr>
          <w:p w14:paraId="41456E15" w14:textId="7760FBBA" w:rsidR="00CB32C5" w:rsidRDefault="00CB32C5" w:rsidP="00822C34">
            <w:pPr>
              <w:jc w:val="center"/>
            </w:pPr>
          </w:p>
        </w:tc>
      </w:tr>
      <w:tr w:rsidR="00F21081" w14:paraId="43EB5499" w14:textId="77777777" w:rsidTr="00297EB9">
        <w:tc>
          <w:tcPr>
            <w:tcW w:w="5920" w:type="dxa"/>
          </w:tcPr>
          <w:p w14:paraId="603A89BE" w14:textId="77777777" w:rsidR="00F21081" w:rsidRPr="00765109" w:rsidRDefault="00F21081">
            <w:pPr>
              <w:rPr>
                <w:b/>
                <w:bCs/>
                <w:sz w:val="28"/>
                <w:szCs w:val="28"/>
              </w:rPr>
            </w:pPr>
            <w:r w:rsidRPr="00765109">
              <w:rPr>
                <w:b/>
                <w:bCs/>
                <w:sz w:val="28"/>
                <w:szCs w:val="28"/>
              </w:rPr>
              <w:t>9U à 18U/21UF</w:t>
            </w:r>
          </w:p>
          <w:p w14:paraId="44098943" w14:textId="77777777" w:rsidR="00F21081" w:rsidRPr="00822C34" w:rsidRDefault="003D5ED0" w:rsidP="00F21081">
            <w:pPr>
              <w:pStyle w:val="Paragraphedeliste"/>
              <w:numPr>
                <w:ilvl w:val="0"/>
                <w:numId w:val="1"/>
              </w:numPr>
            </w:pPr>
            <w:r w:rsidRPr="00822C34">
              <w:t>Résidents de Québec ou St-Augustin - saison régulière seulement (Ceux intéressés par la classe B)</w:t>
            </w:r>
          </w:p>
          <w:p w14:paraId="06A54EC5" w14:textId="77777777" w:rsidR="003D5ED0" w:rsidRPr="00822C34" w:rsidRDefault="003D5ED0" w:rsidP="00F21081">
            <w:pPr>
              <w:pStyle w:val="Paragraphedeliste"/>
              <w:numPr>
                <w:ilvl w:val="0"/>
                <w:numId w:val="1"/>
              </w:numPr>
            </w:pPr>
            <w:r w:rsidRPr="00822C34">
              <w:t>Résidents de Québec ou St-Augustin - saison régulière + camp d'évaluation (Ceux intéressés par classe A ou AA)</w:t>
            </w:r>
          </w:p>
          <w:p w14:paraId="79535AEE" w14:textId="7E69C0FF" w:rsidR="003D5ED0" w:rsidRPr="00D7458D" w:rsidRDefault="003D5ED0" w:rsidP="00F21081">
            <w:pPr>
              <w:pStyle w:val="Paragraphedeliste"/>
              <w:numPr>
                <w:ilvl w:val="0"/>
                <w:numId w:val="1"/>
              </w:numPr>
              <w:rPr>
                <w:b/>
                <w:bCs/>
                <w:sz w:val="16"/>
                <w:szCs w:val="16"/>
              </w:rPr>
            </w:pPr>
            <w:proofErr w:type="spellStart"/>
            <w:r w:rsidRPr="00822C34">
              <w:t>Non résidents</w:t>
            </w:r>
            <w:proofErr w:type="spellEnd"/>
            <w:r w:rsidRPr="00822C34">
              <w:t xml:space="preserve"> - saison régulière seulement (Ceux intéressés par la classe </w:t>
            </w:r>
            <w:proofErr w:type="gramStart"/>
            <w:r w:rsidRPr="00822C34">
              <w:t>B)</w:t>
            </w:r>
            <w:r w:rsidR="00D7458D">
              <w:t xml:space="preserve">  </w:t>
            </w:r>
            <w:r w:rsidR="00D7458D" w:rsidRPr="00D7458D">
              <w:rPr>
                <w:b/>
                <w:bCs/>
                <w:sz w:val="16"/>
                <w:szCs w:val="16"/>
              </w:rPr>
              <w:t>(</w:t>
            </w:r>
            <w:proofErr w:type="gramEnd"/>
            <w:r w:rsidR="00D7458D" w:rsidRPr="00D7458D">
              <w:rPr>
                <w:b/>
                <w:bCs/>
                <w:sz w:val="16"/>
                <w:szCs w:val="16"/>
              </w:rPr>
              <w:t>2)</w:t>
            </w:r>
          </w:p>
          <w:p w14:paraId="1F10D162" w14:textId="77777777" w:rsidR="003D5ED0" w:rsidRPr="00765109" w:rsidRDefault="003D5ED0" w:rsidP="00F21081">
            <w:pPr>
              <w:pStyle w:val="Paragraphedeliste"/>
              <w:numPr>
                <w:ilvl w:val="0"/>
                <w:numId w:val="1"/>
              </w:numPr>
            </w:pPr>
            <w:proofErr w:type="spellStart"/>
            <w:r w:rsidRPr="00822C34">
              <w:t>Non résidents</w:t>
            </w:r>
            <w:proofErr w:type="spellEnd"/>
            <w:r w:rsidRPr="00822C34">
              <w:t xml:space="preserve"> - saison régulière + camp d'évaluation (Ceux intéressés par classe A ou AA)</w:t>
            </w:r>
            <w:r w:rsidR="00D7458D">
              <w:t xml:space="preserve"> </w:t>
            </w:r>
            <w:r w:rsidR="00D7458D" w:rsidRPr="00D7458D">
              <w:rPr>
                <w:b/>
                <w:bCs/>
                <w:sz w:val="16"/>
                <w:szCs w:val="16"/>
              </w:rPr>
              <w:t>(2)</w:t>
            </w:r>
          </w:p>
          <w:p w14:paraId="61B02337" w14:textId="588FC8A2" w:rsidR="00765109" w:rsidRDefault="00765109" w:rsidP="00765109">
            <w:pPr>
              <w:pStyle w:val="Paragraphedeliste"/>
              <w:ind w:left="360"/>
            </w:pPr>
          </w:p>
        </w:tc>
        <w:tc>
          <w:tcPr>
            <w:tcW w:w="1417" w:type="dxa"/>
          </w:tcPr>
          <w:p w14:paraId="127E67C9" w14:textId="77777777" w:rsidR="00F21081" w:rsidRDefault="00F21081" w:rsidP="00822C34">
            <w:pPr>
              <w:jc w:val="right"/>
            </w:pPr>
          </w:p>
          <w:p w14:paraId="04916968" w14:textId="77777777" w:rsidR="00822C34" w:rsidRDefault="00822C34" w:rsidP="00822C34">
            <w:pPr>
              <w:jc w:val="right"/>
            </w:pPr>
          </w:p>
          <w:p w14:paraId="66CB6987" w14:textId="144C57FC" w:rsidR="00822C34" w:rsidRDefault="00822C34" w:rsidP="00822C34">
            <w:pPr>
              <w:jc w:val="right"/>
            </w:pPr>
            <w:r>
              <w:t>220</w:t>
            </w:r>
            <w:r w:rsidR="00D7458D">
              <w:t>,00</w:t>
            </w:r>
            <w:r>
              <w:t xml:space="preserve"> $</w:t>
            </w:r>
          </w:p>
          <w:p w14:paraId="1CDA916F" w14:textId="77777777" w:rsidR="00822C34" w:rsidRDefault="00822C34" w:rsidP="00822C34">
            <w:pPr>
              <w:jc w:val="right"/>
            </w:pPr>
          </w:p>
          <w:p w14:paraId="454B692F" w14:textId="4B5DE066" w:rsidR="00822C34" w:rsidRDefault="00822C34" w:rsidP="00822C34">
            <w:pPr>
              <w:jc w:val="right"/>
            </w:pPr>
            <w:r>
              <w:t>220</w:t>
            </w:r>
            <w:r w:rsidR="00D7458D">
              <w:t>,00</w:t>
            </w:r>
            <w:r>
              <w:t xml:space="preserve"> $</w:t>
            </w:r>
          </w:p>
          <w:p w14:paraId="52F610EB" w14:textId="77777777" w:rsidR="00D7458D" w:rsidRDefault="00D7458D" w:rsidP="00822C34">
            <w:pPr>
              <w:jc w:val="right"/>
            </w:pPr>
          </w:p>
          <w:p w14:paraId="09719592" w14:textId="77777777" w:rsidR="00D7458D" w:rsidRDefault="00D7458D" w:rsidP="00822C34">
            <w:pPr>
              <w:jc w:val="right"/>
            </w:pPr>
            <w:r>
              <w:t>330,00 $</w:t>
            </w:r>
          </w:p>
          <w:p w14:paraId="0673162D" w14:textId="77777777" w:rsidR="00D7458D" w:rsidRDefault="00D7458D" w:rsidP="00822C34">
            <w:pPr>
              <w:jc w:val="right"/>
            </w:pPr>
          </w:p>
          <w:p w14:paraId="3D43DDCE" w14:textId="4012B2DA" w:rsidR="00D7458D" w:rsidRDefault="00D7458D" w:rsidP="00822C34">
            <w:pPr>
              <w:jc w:val="right"/>
            </w:pPr>
            <w:r>
              <w:t>330,00 $</w:t>
            </w:r>
          </w:p>
        </w:tc>
        <w:tc>
          <w:tcPr>
            <w:tcW w:w="1978" w:type="dxa"/>
          </w:tcPr>
          <w:p w14:paraId="674362D0" w14:textId="77777777" w:rsidR="00F21081" w:rsidRDefault="00F21081" w:rsidP="00822C34">
            <w:pPr>
              <w:jc w:val="right"/>
            </w:pPr>
          </w:p>
          <w:p w14:paraId="774D3F3B" w14:textId="77777777" w:rsidR="00822C34" w:rsidRDefault="00822C34" w:rsidP="00822C34">
            <w:pPr>
              <w:jc w:val="right"/>
            </w:pPr>
          </w:p>
          <w:p w14:paraId="0AC9F90A" w14:textId="7406A128" w:rsidR="00822C34" w:rsidRDefault="00822C34" w:rsidP="00822C34">
            <w:pPr>
              <w:jc w:val="right"/>
            </w:pPr>
            <w:r>
              <w:t>45</w:t>
            </w:r>
            <w:r w:rsidR="00D7458D">
              <w:t>,00</w:t>
            </w:r>
            <w:r>
              <w:t xml:space="preserve"> $</w:t>
            </w:r>
          </w:p>
          <w:p w14:paraId="69123660" w14:textId="77777777" w:rsidR="00822C34" w:rsidRDefault="00822C34" w:rsidP="00822C34"/>
          <w:p w14:paraId="3F41CD30" w14:textId="7F247DA1" w:rsidR="00822C34" w:rsidRDefault="00822C34" w:rsidP="00822C34">
            <w:pPr>
              <w:jc w:val="right"/>
            </w:pPr>
            <w:r>
              <w:t>45</w:t>
            </w:r>
            <w:r w:rsidR="00D7458D">
              <w:t>,00</w:t>
            </w:r>
            <w:r>
              <w:t xml:space="preserve"> $</w:t>
            </w:r>
          </w:p>
          <w:p w14:paraId="1C3402E2" w14:textId="77777777" w:rsidR="00D7458D" w:rsidRDefault="00D7458D" w:rsidP="00822C34">
            <w:pPr>
              <w:jc w:val="right"/>
            </w:pPr>
          </w:p>
          <w:p w14:paraId="25116D97" w14:textId="77777777" w:rsidR="00D7458D" w:rsidRDefault="00D7458D" w:rsidP="00822C34">
            <w:pPr>
              <w:jc w:val="right"/>
            </w:pPr>
            <w:r>
              <w:t>67,50 $</w:t>
            </w:r>
          </w:p>
          <w:p w14:paraId="063A463F" w14:textId="77777777" w:rsidR="00D7458D" w:rsidRDefault="00D7458D" w:rsidP="00822C34">
            <w:pPr>
              <w:jc w:val="right"/>
            </w:pPr>
          </w:p>
          <w:p w14:paraId="6FA10618" w14:textId="49B978AD" w:rsidR="00D7458D" w:rsidRPr="00822C34" w:rsidRDefault="00D7458D" w:rsidP="00822C34">
            <w:pPr>
              <w:jc w:val="right"/>
            </w:pPr>
            <w:r>
              <w:t>67,50 $</w:t>
            </w:r>
          </w:p>
        </w:tc>
        <w:tc>
          <w:tcPr>
            <w:tcW w:w="1414" w:type="dxa"/>
          </w:tcPr>
          <w:p w14:paraId="6C09A8E0" w14:textId="77777777" w:rsidR="00F21081" w:rsidRDefault="00F21081" w:rsidP="00822C34">
            <w:pPr>
              <w:jc w:val="right"/>
            </w:pPr>
          </w:p>
          <w:p w14:paraId="2E5C351B" w14:textId="77777777" w:rsidR="00822C34" w:rsidRDefault="00822C34" w:rsidP="00822C34">
            <w:pPr>
              <w:jc w:val="right"/>
            </w:pPr>
          </w:p>
          <w:p w14:paraId="6794C498" w14:textId="0E58B817" w:rsidR="00822C34" w:rsidRDefault="00822C34" w:rsidP="00822C34">
            <w:pPr>
              <w:jc w:val="right"/>
            </w:pPr>
            <w:r>
              <w:t>265</w:t>
            </w:r>
            <w:r w:rsidR="00D7458D">
              <w:t>,00</w:t>
            </w:r>
            <w:r>
              <w:t xml:space="preserve"> $</w:t>
            </w:r>
          </w:p>
          <w:p w14:paraId="2A1FBBCE" w14:textId="77777777" w:rsidR="00822C34" w:rsidRDefault="00822C34" w:rsidP="00822C34">
            <w:pPr>
              <w:jc w:val="right"/>
            </w:pPr>
          </w:p>
          <w:p w14:paraId="5D9DBF39" w14:textId="77777777" w:rsidR="00822C34" w:rsidRDefault="00822C34" w:rsidP="00822C34">
            <w:pPr>
              <w:jc w:val="right"/>
            </w:pPr>
            <w:r>
              <w:t>265</w:t>
            </w:r>
            <w:r w:rsidR="00D7458D">
              <w:t>,00</w:t>
            </w:r>
            <w:r>
              <w:t xml:space="preserve"> $</w:t>
            </w:r>
          </w:p>
          <w:p w14:paraId="1688F870" w14:textId="77777777" w:rsidR="00D7458D" w:rsidRDefault="00D7458D" w:rsidP="00822C34">
            <w:pPr>
              <w:jc w:val="right"/>
            </w:pPr>
          </w:p>
          <w:p w14:paraId="115CBD2C" w14:textId="77777777" w:rsidR="00D7458D" w:rsidRDefault="00D7458D" w:rsidP="00822C34">
            <w:pPr>
              <w:jc w:val="right"/>
            </w:pPr>
            <w:r>
              <w:t>397,50 $</w:t>
            </w:r>
          </w:p>
          <w:p w14:paraId="6E1CFC30" w14:textId="77777777" w:rsidR="00D7458D" w:rsidRDefault="00D7458D" w:rsidP="00822C34">
            <w:pPr>
              <w:jc w:val="right"/>
            </w:pPr>
          </w:p>
          <w:p w14:paraId="09C6CF37" w14:textId="089D06FB" w:rsidR="00D7458D" w:rsidRDefault="00D7458D" w:rsidP="00822C34">
            <w:pPr>
              <w:jc w:val="right"/>
            </w:pPr>
            <w:r>
              <w:t>397,50 $</w:t>
            </w:r>
          </w:p>
        </w:tc>
        <w:tc>
          <w:tcPr>
            <w:tcW w:w="1328" w:type="dxa"/>
          </w:tcPr>
          <w:p w14:paraId="5DB1B25F" w14:textId="77777777" w:rsidR="00F21081" w:rsidRDefault="00F21081" w:rsidP="00822C34">
            <w:pPr>
              <w:jc w:val="right"/>
            </w:pPr>
          </w:p>
          <w:p w14:paraId="0A79F379" w14:textId="77777777" w:rsidR="00822C34" w:rsidRDefault="00822C34" w:rsidP="00822C34">
            <w:pPr>
              <w:jc w:val="right"/>
            </w:pPr>
          </w:p>
          <w:p w14:paraId="1C8E280B" w14:textId="77777777" w:rsidR="00822C34" w:rsidRDefault="00822C34" w:rsidP="00822C34">
            <w:pPr>
              <w:jc w:val="right"/>
            </w:pPr>
          </w:p>
          <w:p w14:paraId="481B0BD8" w14:textId="77777777" w:rsidR="00822C34" w:rsidRDefault="00822C34" w:rsidP="00822C34">
            <w:pPr>
              <w:jc w:val="right"/>
            </w:pPr>
          </w:p>
          <w:p w14:paraId="2188CE19" w14:textId="77777777" w:rsidR="00822C34" w:rsidRDefault="00822C34" w:rsidP="00822C34">
            <w:pPr>
              <w:jc w:val="right"/>
            </w:pPr>
            <w:r>
              <w:t>25</w:t>
            </w:r>
            <w:r w:rsidR="00D7458D">
              <w:t>,00</w:t>
            </w:r>
            <w:r>
              <w:t xml:space="preserve"> $</w:t>
            </w:r>
          </w:p>
          <w:p w14:paraId="6CD9EA51" w14:textId="77777777" w:rsidR="00D7458D" w:rsidRDefault="00D7458D" w:rsidP="00822C34">
            <w:pPr>
              <w:jc w:val="right"/>
            </w:pPr>
          </w:p>
          <w:p w14:paraId="1DBADE95" w14:textId="77777777" w:rsidR="00D7458D" w:rsidRDefault="00D7458D" w:rsidP="00822C34">
            <w:pPr>
              <w:jc w:val="right"/>
            </w:pPr>
          </w:p>
          <w:p w14:paraId="1B4650CF" w14:textId="77777777" w:rsidR="00D7458D" w:rsidRDefault="00D7458D" w:rsidP="00822C34">
            <w:pPr>
              <w:jc w:val="right"/>
            </w:pPr>
          </w:p>
          <w:p w14:paraId="0F73B3E4" w14:textId="555CD34F" w:rsidR="00D7458D" w:rsidRDefault="00D7458D" w:rsidP="00822C34">
            <w:pPr>
              <w:jc w:val="right"/>
            </w:pPr>
            <w:r>
              <w:t>25,00 $</w:t>
            </w:r>
          </w:p>
        </w:tc>
        <w:tc>
          <w:tcPr>
            <w:tcW w:w="1410" w:type="dxa"/>
          </w:tcPr>
          <w:p w14:paraId="0855C05B" w14:textId="77777777" w:rsidR="00F21081" w:rsidRDefault="00F21081" w:rsidP="00822C34">
            <w:pPr>
              <w:jc w:val="right"/>
            </w:pPr>
          </w:p>
          <w:p w14:paraId="74B2ECA6" w14:textId="77777777" w:rsidR="00822C34" w:rsidRDefault="00822C34" w:rsidP="00822C34">
            <w:pPr>
              <w:jc w:val="right"/>
            </w:pPr>
          </w:p>
          <w:p w14:paraId="45A5017D" w14:textId="4931148B" w:rsidR="00822C34" w:rsidRDefault="00822C34" w:rsidP="00822C34">
            <w:pPr>
              <w:jc w:val="right"/>
            </w:pPr>
            <w:r>
              <w:t>40</w:t>
            </w:r>
            <w:r w:rsidR="00D7458D">
              <w:t>,00</w:t>
            </w:r>
            <w:r>
              <w:t xml:space="preserve"> $</w:t>
            </w:r>
          </w:p>
          <w:p w14:paraId="623DD259" w14:textId="77777777" w:rsidR="00822C34" w:rsidRDefault="00822C34" w:rsidP="00822C34">
            <w:pPr>
              <w:jc w:val="right"/>
            </w:pPr>
          </w:p>
          <w:p w14:paraId="3BAE1167" w14:textId="77777777" w:rsidR="00822C34" w:rsidRDefault="00822C34" w:rsidP="00822C34">
            <w:pPr>
              <w:jc w:val="right"/>
            </w:pPr>
            <w:r>
              <w:t>40</w:t>
            </w:r>
            <w:r w:rsidR="00D7458D">
              <w:t>,00</w:t>
            </w:r>
            <w:r>
              <w:t xml:space="preserve"> $</w:t>
            </w:r>
          </w:p>
          <w:p w14:paraId="33745EC6" w14:textId="77777777" w:rsidR="00D7458D" w:rsidRDefault="00D7458D" w:rsidP="00822C34">
            <w:pPr>
              <w:jc w:val="right"/>
            </w:pPr>
          </w:p>
          <w:p w14:paraId="25370A42" w14:textId="77777777" w:rsidR="00D7458D" w:rsidRDefault="00D7458D" w:rsidP="00822C34">
            <w:pPr>
              <w:jc w:val="right"/>
            </w:pPr>
            <w:r>
              <w:t>40,00 $</w:t>
            </w:r>
          </w:p>
          <w:p w14:paraId="1DDA22DE" w14:textId="77777777" w:rsidR="00D7458D" w:rsidRDefault="00D7458D" w:rsidP="00822C34">
            <w:pPr>
              <w:jc w:val="right"/>
            </w:pPr>
          </w:p>
          <w:p w14:paraId="64C8FE54" w14:textId="62E1F105" w:rsidR="00D7458D" w:rsidRDefault="00D7458D" w:rsidP="00822C34">
            <w:pPr>
              <w:jc w:val="right"/>
            </w:pPr>
            <w:r>
              <w:t>40,00 $</w:t>
            </w:r>
          </w:p>
        </w:tc>
        <w:tc>
          <w:tcPr>
            <w:tcW w:w="1370" w:type="dxa"/>
          </w:tcPr>
          <w:p w14:paraId="31D15DA0" w14:textId="77777777" w:rsidR="00F21081" w:rsidRDefault="00F21081" w:rsidP="00822C34">
            <w:pPr>
              <w:jc w:val="right"/>
            </w:pPr>
          </w:p>
          <w:p w14:paraId="7FB06FC1" w14:textId="77777777" w:rsidR="00822C34" w:rsidRDefault="00822C34" w:rsidP="00822C34">
            <w:pPr>
              <w:jc w:val="right"/>
            </w:pPr>
          </w:p>
          <w:p w14:paraId="549EF88B" w14:textId="454F084B" w:rsidR="00822C34" w:rsidRDefault="00822C34" w:rsidP="00822C34">
            <w:pPr>
              <w:jc w:val="right"/>
            </w:pPr>
            <w:r>
              <w:t>305</w:t>
            </w:r>
            <w:r w:rsidR="00D7458D">
              <w:t>,00</w:t>
            </w:r>
            <w:r>
              <w:t xml:space="preserve"> $</w:t>
            </w:r>
          </w:p>
          <w:p w14:paraId="4E4BC94F" w14:textId="77777777" w:rsidR="00822C34" w:rsidRDefault="00822C34" w:rsidP="00822C34">
            <w:pPr>
              <w:jc w:val="right"/>
            </w:pPr>
          </w:p>
          <w:p w14:paraId="53128B61" w14:textId="77777777" w:rsidR="00822C34" w:rsidRDefault="00822C34" w:rsidP="00822C34">
            <w:pPr>
              <w:jc w:val="right"/>
            </w:pPr>
            <w:r>
              <w:t>330</w:t>
            </w:r>
            <w:r w:rsidR="00D7458D">
              <w:t>,00</w:t>
            </w:r>
            <w:r>
              <w:t xml:space="preserve"> $</w:t>
            </w:r>
          </w:p>
          <w:p w14:paraId="23840F35" w14:textId="77777777" w:rsidR="00D7458D" w:rsidRDefault="00D7458D" w:rsidP="00822C34">
            <w:pPr>
              <w:jc w:val="right"/>
            </w:pPr>
          </w:p>
          <w:p w14:paraId="3A69AFCB" w14:textId="77777777" w:rsidR="00D7458D" w:rsidRDefault="00D7458D" w:rsidP="00822C34">
            <w:pPr>
              <w:jc w:val="right"/>
            </w:pPr>
            <w:r>
              <w:t>437,50 $</w:t>
            </w:r>
          </w:p>
          <w:p w14:paraId="56C8CC62" w14:textId="77777777" w:rsidR="00D7458D" w:rsidRDefault="00D7458D" w:rsidP="00822C34">
            <w:pPr>
              <w:jc w:val="right"/>
            </w:pPr>
          </w:p>
          <w:p w14:paraId="0DD1C7D1" w14:textId="1E5EC0B7" w:rsidR="00D7458D" w:rsidRDefault="00D7458D" w:rsidP="00822C34">
            <w:pPr>
              <w:jc w:val="right"/>
            </w:pPr>
            <w:r>
              <w:t>462,50 $</w:t>
            </w:r>
          </w:p>
        </w:tc>
      </w:tr>
      <w:tr w:rsidR="00F21081" w14:paraId="666C5EFB" w14:textId="77777777" w:rsidTr="00297EB9">
        <w:tc>
          <w:tcPr>
            <w:tcW w:w="5920" w:type="dxa"/>
          </w:tcPr>
          <w:p w14:paraId="4723C82A" w14:textId="77777777" w:rsidR="00F21081" w:rsidRDefault="00D7458D">
            <w:pPr>
              <w:rPr>
                <w:b/>
                <w:bCs/>
                <w:sz w:val="28"/>
                <w:szCs w:val="28"/>
              </w:rPr>
            </w:pPr>
            <w:r w:rsidRPr="00765109">
              <w:rPr>
                <w:b/>
                <w:bCs/>
                <w:sz w:val="28"/>
                <w:szCs w:val="28"/>
              </w:rPr>
              <w:t>Rallye Cap</w:t>
            </w:r>
          </w:p>
          <w:p w14:paraId="361949D9" w14:textId="633D70F8" w:rsidR="00765109" w:rsidRPr="00765109" w:rsidRDefault="00765109">
            <w:pPr>
              <w:rPr>
                <w:b/>
                <w:bCs/>
                <w:sz w:val="28"/>
                <w:szCs w:val="28"/>
              </w:rPr>
            </w:pPr>
          </w:p>
        </w:tc>
        <w:tc>
          <w:tcPr>
            <w:tcW w:w="1417" w:type="dxa"/>
          </w:tcPr>
          <w:p w14:paraId="0332E2A0" w14:textId="29B0F60F" w:rsidR="00F21081" w:rsidRDefault="00765109" w:rsidP="00D7458D">
            <w:pPr>
              <w:jc w:val="right"/>
            </w:pPr>
            <w:r>
              <w:t>100</w:t>
            </w:r>
            <w:r w:rsidR="00D7458D">
              <w:t>,00 $</w:t>
            </w:r>
          </w:p>
        </w:tc>
        <w:tc>
          <w:tcPr>
            <w:tcW w:w="1978" w:type="dxa"/>
          </w:tcPr>
          <w:p w14:paraId="522CD0F7" w14:textId="2ADF4945" w:rsidR="00F21081" w:rsidRDefault="00D7458D" w:rsidP="00D7458D">
            <w:pPr>
              <w:jc w:val="right"/>
            </w:pPr>
            <w:r>
              <w:t>20,00 $</w:t>
            </w:r>
          </w:p>
        </w:tc>
        <w:tc>
          <w:tcPr>
            <w:tcW w:w="1414" w:type="dxa"/>
          </w:tcPr>
          <w:p w14:paraId="720F7250" w14:textId="7FBB8950" w:rsidR="00F21081" w:rsidRDefault="00D7458D" w:rsidP="00D7458D">
            <w:pPr>
              <w:jc w:val="right"/>
            </w:pPr>
            <w:r>
              <w:t>1</w:t>
            </w:r>
            <w:r w:rsidR="00765109">
              <w:t>20</w:t>
            </w:r>
            <w:r>
              <w:t>,00 $</w:t>
            </w:r>
          </w:p>
        </w:tc>
        <w:tc>
          <w:tcPr>
            <w:tcW w:w="1328" w:type="dxa"/>
          </w:tcPr>
          <w:p w14:paraId="1C598075" w14:textId="2B08220F" w:rsidR="00F21081" w:rsidRDefault="00F21081"/>
        </w:tc>
        <w:tc>
          <w:tcPr>
            <w:tcW w:w="1410" w:type="dxa"/>
          </w:tcPr>
          <w:p w14:paraId="30A1C220" w14:textId="67DEA086" w:rsidR="00F21081" w:rsidRDefault="00D7458D" w:rsidP="00D7458D">
            <w:pPr>
              <w:jc w:val="right"/>
            </w:pPr>
            <w:r>
              <w:t>2</w:t>
            </w:r>
            <w:r w:rsidR="00765109">
              <w:t>0</w:t>
            </w:r>
            <w:r>
              <w:t>,00 $</w:t>
            </w:r>
          </w:p>
        </w:tc>
        <w:tc>
          <w:tcPr>
            <w:tcW w:w="1370" w:type="dxa"/>
          </w:tcPr>
          <w:p w14:paraId="48A11340" w14:textId="00C2C7C9" w:rsidR="00F21081" w:rsidRDefault="00D7458D" w:rsidP="00D7458D">
            <w:pPr>
              <w:jc w:val="right"/>
            </w:pPr>
            <w:r>
              <w:t>140,00 $</w:t>
            </w:r>
          </w:p>
        </w:tc>
      </w:tr>
    </w:tbl>
    <w:p w14:paraId="21990852" w14:textId="3A6C2571" w:rsidR="00F21081" w:rsidRDefault="00822C34" w:rsidP="00D7458D">
      <w:pPr>
        <w:pStyle w:val="Paragraphedeliste"/>
        <w:numPr>
          <w:ilvl w:val="0"/>
          <w:numId w:val="2"/>
        </w:numPr>
        <w:ind w:left="-494" w:hanging="357"/>
      </w:pPr>
      <w:r>
        <w:t>Les coûts de programme regroupent les frais suivants : arbitres, marqueurs, appointeur et coordonnateur, achats de casquettes et de balles, et autres équipements, la formation des entraîneurs et les divers frais d’administration et bancaires.</w:t>
      </w:r>
    </w:p>
    <w:p w14:paraId="61E53000" w14:textId="2BE0018C" w:rsidR="00D7458D" w:rsidRDefault="008A7D84" w:rsidP="00D7458D">
      <w:pPr>
        <w:pStyle w:val="Paragraphedeliste"/>
        <w:numPr>
          <w:ilvl w:val="0"/>
          <w:numId w:val="2"/>
        </w:numPr>
        <w:ind w:left="-494" w:hanging="357"/>
      </w:pPr>
      <w:r>
        <w:t>En vertu de</w:t>
      </w:r>
      <w:r w:rsidR="00D7458D">
        <w:t xml:space="preserve"> la politique actuellement en vigueur à la Ville de Québec et à la Ville de St-Augustin, </w:t>
      </w:r>
      <w:r w:rsidR="00765109">
        <w:t xml:space="preserve">les frais d’inscription d’un joueur non-résident </w:t>
      </w:r>
      <w:r>
        <w:t>sont</w:t>
      </w:r>
      <w:r w:rsidR="00765109">
        <w:t xml:space="preserve"> majorés de 50 </w:t>
      </w:r>
      <w:r>
        <w:t xml:space="preserve">% </w:t>
      </w:r>
      <w:r w:rsidR="00765109">
        <w:t>sur le tarif de base.</w:t>
      </w:r>
    </w:p>
    <w:p w14:paraId="5DD44EC2" w14:textId="3F36CFB7" w:rsidR="00297EB9" w:rsidRDefault="00297EB9" w:rsidP="00D7458D">
      <w:pPr>
        <w:pStyle w:val="Paragraphedeliste"/>
        <w:numPr>
          <w:ilvl w:val="0"/>
          <w:numId w:val="2"/>
        </w:numPr>
        <w:spacing w:after="120"/>
        <w:ind w:left="-494" w:right="-567" w:hanging="357"/>
      </w:pPr>
      <w:r w:rsidRPr="00297EB9">
        <w:rPr>
          <w:rFonts w:cstheme="minorHAnsi"/>
          <w:color w:val="333333"/>
          <w:sz w:val="24"/>
          <w:szCs w:val="24"/>
          <w:shd w:val="clear" w:color="auto" w:fill="FFFFFF"/>
        </w:rPr>
        <w:t>Politique de remboursement : Aucun remboursement ne sera accordé après le 15 mai 2022. Toutefois, des frais de 50$ seront déduits du montant à rembourser avant cette date. Pour la catégorie Novice la date limite est fixée au 1er juin 2022.</w:t>
      </w:r>
      <w:r w:rsidRPr="00297EB9">
        <w:rPr>
          <w:rFonts w:cstheme="minorHAnsi"/>
          <w:color w:val="333333"/>
          <w:sz w:val="24"/>
          <w:szCs w:val="24"/>
        </w:rPr>
        <w:br/>
      </w:r>
      <w:r w:rsidRPr="00297EB9">
        <w:rPr>
          <w:rFonts w:cstheme="minorHAnsi"/>
          <w:color w:val="333333"/>
          <w:sz w:val="24"/>
          <w:szCs w:val="24"/>
          <w:shd w:val="clear" w:color="auto" w:fill="FFFFFF"/>
        </w:rPr>
        <w:t>En cas de blessure, une preuve médicale peut être fournie, pour un remboursement au prorata des parties jouées, au plus tard le 30 juin 2022. Les frais de camps de sélection ne sont pas remboursables, ni les frais de gestion.</w:t>
      </w:r>
      <w:r w:rsidRPr="00297EB9">
        <w:rPr>
          <w:rFonts w:cstheme="minorHAnsi"/>
          <w:color w:val="333333"/>
          <w:sz w:val="24"/>
          <w:szCs w:val="24"/>
        </w:rPr>
        <w:br/>
      </w:r>
      <w:r w:rsidRPr="00297EB9">
        <w:rPr>
          <w:rFonts w:cstheme="minorHAnsi"/>
          <w:color w:val="333333"/>
          <w:sz w:val="24"/>
          <w:szCs w:val="24"/>
          <w:shd w:val="clear" w:color="auto" w:fill="FFFFFF"/>
        </w:rPr>
        <w:t>Pour les joueurs intéressés à évoluer dans la classe AA, vous devez vous inscrire au camp d’évaluation auprès de l’Association de baseball AA de la Capitale Nationale et payer les frais exigés par cette organisation.</w:t>
      </w:r>
    </w:p>
    <w:p w14:paraId="3583F850" w14:textId="77777777" w:rsidR="00822C34" w:rsidRDefault="00822C34" w:rsidP="00822C34">
      <w:pPr>
        <w:pStyle w:val="Paragraphedeliste"/>
      </w:pPr>
    </w:p>
    <w:sectPr w:rsidR="00822C34" w:rsidSect="00F21081">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EC5C" w14:textId="77777777" w:rsidR="00755669" w:rsidRDefault="00755669" w:rsidP="00822C34">
      <w:pPr>
        <w:spacing w:after="0" w:line="240" w:lineRule="auto"/>
      </w:pPr>
      <w:r>
        <w:separator/>
      </w:r>
    </w:p>
  </w:endnote>
  <w:endnote w:type="continuationSeparator" w:id="0">
    <w:p w14:paraId="67BBCDE2" w14:textId="77777777" w:rsidR="00755669" w:rsidRDefault="00755669" w:rsidP="0082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1A72" w14:textId="77777777" w:rsidR="00755669" w:rsidRDefault="00755669" w:rsidP="00822C34">
      <w:pPr>
        <w:spacing w:after="0" w:line="240" w:lineRule="auto"/>
      </w:pPr>
      <w:r>
        <w:separator/>
      </w:r>
    </w:p>
  </w:footnote>
  <w:footnote w:type="continuationSeparator" w:id="0">
    <w:p w14:paraId="2B508C16" w14:textId="77777777" w:rsidR="00755669" w:rsidRDefault="00755669" w:rsidP="00822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C19"/>
    <w:multiLevelType w:val="hybridMultilevel"/>
    <w:tmpl w:val="60DC7596"/>
    <w:lvl w:ilvl="0" w:tplc="8DC8BDAE">
      <w:start w:val="1"/>
      <w:numFmt w:val="decimal"/>
      <w:lvlText w:val="(%1)"/>
      <w:lvlJc w:val="left"/>
      <w:pPr>
        <w:ind w:left="720" w:hanging="360"/>
      </w:pPr>
      <w:rPr>
        <w:rFonts w:hint="default"/>
        <w:b/>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9C205FE"/>
    <w:multiLevelType w:val="hybridMultilevel"/>
    <w:tmpl w:val="2500C4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081"/>
    <w:rsid w:val="00275690"/>
    <w:rsid w:val="00297EB9"/>
    <w:rsid w:val="002A0AE1"/>
    <w:rsid w:val="00327D34"/>
    <w:rsid w:val="003D5ED0"/>
    <w:rsid w:val="00526559"/>
    <w:rsid w:val="006A7C03"/>
    <w:rsid w:val="00755669"/>
    <w:rsid w:val="00765109"/>
    <w:rsid w:val="00822C34"/>
    <w:rsid w:val="008A7D84"/>
    <w:rsid w:val="009A1166"/>
    <w:rsid w:val="00A83ACB"/>
    <w:rsid w:val="00A9165F"/>
    <w:rsid w:val="00BD27B8"/>
    <w:rsid w:val="00C7406E"/>
    <w:rsid w:val="00CB32C5"/>
    <w:rsid w:val="00D7458D"/>
    <w:rsid w:val="00F210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EAEC"/>
  <w15:chartTrackingRefBased/>
  <w15:docId w15:val="{C5E6D899-862C-486B-AAD1-65AEF646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21081"/>
    <w:pPr>
      <w:ind w:left="720"/>
      <w:contextualSpacing/>
    </w:pPr>
  </w:style>
  <w:style w:type="paragraph" w:styleId="En-tte">
    <w:name w:val="header"/>
    <w:basedOn w:val="Normal"/>
    <w:link w:val="En-tteCar"/>
    <w:uiPriority w:val="99"/>
    <w:unhideWhenUsed/>
    <w:rsid w:val="00822C34"/>
    <w:pPr>
      <w:tabs>
        <w:tab w:val="center" w:pos="4320"/>
        <w:tab w:val="right" w:pos="8640"/>
      </w:tabs>
      <w:spacing w:after="0" w:line="240" w:lineRule="auto"/>
    </w:pPr>
  </w:style>
  <w:style w:type="character" w:customStyle="1" w:styleId="En-tteCar">
    <w:name w:val="En-tête Car"/>
    <w:basedOn w:val="Policepardfaut"/>
    <w:link w:val="En-tte"/>
    <w:uiPriority w:val="99"/>
    <w:rsid w:val="00822C34"/>
  </w:style>
  <w:style w:type="paragraph" w:styleId="Pieddepage">
    <w:name w:val="footer"/>
    <w:basedOn w:val="Normal"/>
    <w:link w:val="PieddepageCar"/>
    <w:uiPriority w:val="99"/>
    <w:unhideWhenUsed/>
    <w:rsid w:val="00822C3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2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1767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Pouliot</dc:creator>
  <cp:keywords/>
  <dc:description/>
  <cp:lastModifiedBy>Pierre Blais</cp:lastModifiedBy>
  <cp:revision>4</cp:revision>
  <cp:lastPrinted>2022-02-25T21:17:00Z</cp:lastPrinted>
  <dcterms:created xsi:type="dcterms:W3CDTF">2022-02-25T21:49:00Z</dcterms:created>
  <dcterms:modified xsi:type="dcterms:W3CDTF">2022-03-02T01:22:00Z</dcterms:modified>
</cp:coreProperties>
</file>